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69" w:rsidRDefault="00026069" w:rsidP="0002606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Calibri" w:hAnsi="Calibri"/>
          <w:color w:val="444444"/>
          <w:sz w:val="21"/>
          <w:szCs w:val="21"/>
        </w:rPr>
      </w:pPr>
      <w:r>
        <w:rPr>
          <w:rFonts w:ascii="Calibri" w:hAnsi="Calibri"/>
          <w:color w:val="444444"/>
          <w:sz w:val="21"/>
          <w:szCs w:val="21"/>
        </w:rPr>
        <w:t xml:space="preserve">…с сайта ОАО «ПСК» </w:t>
      </w:r>
      <w:r w:rsidRPr="00026069">
        <w:rPr>
          <w:rFonts w:ascii="Calibri" w:hAnsi="Calibri"/>
          <w:color w:val="444444"/>
          <w:sz w:val="21"/>
          <w:szCs w:val="21"/>
        </w:rPr>
        <w:t>http://www.pesc.ru/for_clients/disclosure_of_information/general_disclosure/120/index.php?sphrase_id=112329</w:t>
      </w:r>
    </w:p>
    <w:p w:rsidR="00026069" w:rsidRDefault="00026069" w:rsidP="0002606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Calibri" w:hAnsi="Calibri"/>
          <w:color w:val="444444"/>
          <w:sz w:val="21"/>
          <w:szCs w:val="21"/>
        </w:rPr>
      </w:pPr>
    </w:p>
    <w:p w:rsidR="00026069" w:rsidRDefault="00026069" w:rsidP="0002606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Calibri" w:hAnsi="Calibri"/>
          <w:color w:val="444444"/>
          <w:sz w:val="21"/>
          <w:szCs w:val="21"/>
        </w:rPr>
      </w:pPr>
      <w:r>
        <w:rPr>
          <w:rFonts w:ascii="Calibri" w:hAnsi="Calibri"/>
          <w:color w:val="444444"/>
          <w:sz w:val="21"/>
          <w:szCs w:val="21"/>
        </w:rPr>
        <w:t>ОАО «Петербургская сбытовая компания» является гарантирующим поставщиком электрической энергии на территории двух субъектов РФ – Санкт-Петербурга и Ленинградской области. В отношении каждого региона со стороны Федеральной службы по тарифам РФ существует отдельное тарифно-балансовое решение.</w:t>
      </w:r>
    </w:p>
    <w:p w:rsidR="00026069" w:rsidRDefault="00026069" w:rsidP="0002606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Calibri" w:hAnsi="Calibri"/>
          <w:color w:val="444444"/>
          <w:sz w:val="21"/>
          <w:szCs w:val="21"/>
        </w:rPr>
      </w:pPr>
      <w:r>
        <w:rPr>
          <w:rFonts w:ascii="Calibri" w:hAnsi="Calibri"/>
          <w:color w:val="444444"/>
          <w:sz w:val="21"/>
          <w:szCs w:val="21"/>
        </w:rPr>
        <w:t xml:space="preserve">Продажа электрической энергии (мощности) на розничных рынках по регулируемым ценам (тарифам) осуществляется в объемах, соответствующих определяемым в соответствии с Правилами оптового рынка электрической энергии (мощности) переходного периода объемам покупки электрической энергии (мощности) по регулируемым ценам (тарифам) гарантирующими поставщиками, </w:t>
      </w:r>
      <w:proofErr w:type="spellStart"/>
      <w:r>
        <w:rPr>
          <w:rFonts w:ascii="Calibri" w:hAnsi="Calibri"/>
          <w:color w:val="444444"/>
          <w:sz w:val="21"/>
          <w:szCs w:val="21"/>
        </w:rPr>
        <w:t>энергоснабжающими</w:t>
      </w:r>
      <w:proofErr w:type="spellEnd"/>
      <w:r>
        <w:rPr>
          <w:rFonts w:ascii="Calibri" w:hAnsi="Calibri"/>
          <w:color w:val="444444"/>
          <w:sz w:val="21"/>
          <w:szCs w:val="21"/>
        </w:rPr>
        <w:t xml:space="preserve"> организациями и </w:t>
      </w:r>
      <w:proofErr w:type="spellStart"/>
      <w:r>
        <w:rPr>
          <w:rFonts w:ascii="Calibri" w:hAnsi="Calibri"/>
          <w:color w:val="444444"/>
          <w:sz w:val="21"/>
          <w:szCs w:val="21"/>
        </w:rPr>
        <w:t>энергосбытовыми</w:t>
      </w:r>
      <w:proofErr w:type="spellEnd"/>
      <w:r>
        <w:rPr>
          <w:rFonts w:ascii="Calibri" w:hAnsi="Calibri"/>
          <w:color w:val="444444"/>
          <w:sz w:val="21"/>
          <w:szCs w:val="21"/>
        </w:rPr>
        <w:t xml:space="preserve"> организациями, поставляющими электрическую энергию, в том числе для снабжения граждан-потребителей, использующих электрическую энергию для бытового потребления. Продажа остальных объемов электрической энергии и мощности на территориях субъектов Российской Федерации, включенных в ценовые зоны оптового рынка, осуществляется по нерегулируемым ценам.</w:t>
      </w:r>
    </w:p>
    <w:p w:rsidR="00026069" w:rsidRDefault="00026069" w:rsidP="0002606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color w:val="444444"/>
          <w:sz w:val="21"/>
          <w:szCs w:val="21"/>
        </w:rPr>
      </w:pPr>
      <w:r>
        <w:rPr>
          <w:rFonts w:ascii="Calibri" w:hAnsi="Calibri"/>
          <w:color w:val="444444"/>
          <w:sz w:val="21"/>
          <w:szCs w:val="21"/>
        </w:rPr>
        <w:t xml:space="preserve">Стоимость электрической энергии, поставляемой ГП (ЭСО, ЭСК) по регулируемым ценам покупателям, указанным в пункте 108 Правил розничных рынков (утв. постановлением Правительства РФ от 31.08.2006 г. № 530), кроме населения, определяется как произведение тарифа, установленного органом исполнительной власти субъекта Российской Федерации в области государственного регулирования тарифов для соответствующей группы потребителей (для потребителей, рассчитывающихся по </w:t>
      </w:r>
      <w:proofErr w:type="spellStart"/>
      <w:r>
        <w:rPr>
          <w:rFonts w:ascii="Calibri" w:hAnsi="Calibri"/>
          <w:color w:val="444444"/>
          <w:sz w:val="21"/>
          <w:szCs w:val="21"/>
        </w:rPr>
        <w:t>двухставочному</w:t>
      </w:r>
      <w:proofErr w:type="spellEnd"/>
      <w:r>
        <w:rPr>
          <w:rFonts w:ascii="Calibri" w:hAnsi="Calibri"/>
          <w:color w:val="444444"/>
          <w:sz w:val="21"/>
          <w:szCs w:val="21"/>
        </w:rPr>
        <w:t xml:space="preserve"> тарифу – тарифной ставки за электрическую энергию) и объема электрической энергии, определяемого с учетом коэффициента распределения электрической энергии, поставляемой ГП (ЭСО, ЭСК) на розничном рынке по регулируемым ценам β (утв. </w:t>
      </w:r>
      <w:hyperlink r:id="rId4" w:history="1">
        <w:r>
          <w:rPr>
            <w:rStyle w:val="a4"/>
            <w:rFonts w:ascii="inherit" w:hAnsi="inherit"/>
            <w:color w:val="7B8DB6"/>
            <w:sz w:val="21"/>
            <w:szCs w:val="21"/>
            <w:bdr w:val="none" w:sz="0" w:space="0" w:color="auto" w:frame="1"/>
          </w:rPr>
          <w:t>приказом ФСТ РФ от 21.08.2007 г. № 166-э/1</w:t>
        </w:r>
      </w:hyperlink>
      <w:r>
        <w:rPr>
          <w:rFonts w:ascii="Calibri" w:hAnsi="Calibri"/>
          <w:color w:val="444444"/>
          <w:sz w:val="21"/>
          <w:szCs w:val="21"/>
        </w:rPr>
        <w:t> )</w:t>
      </w:r>
    </w:p>
    <w:p w:rsidR="00026069" w:rsidRDefault="00026069" w:rsidP="0002606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Calibri" w:hAnsi="Calibri"/>
          <w:color w:val="444444"/>
          <w:sz w:val="21"/>
          <w:szCs w:val="21"/>
        </w:rPr>
      </w:pPr>
      <w:r>
        <w:rPr>
          <w:rFonts w:ascii="Calibri" w:hAnsi="Calibri"/>
          <w:color w:val="444444"/>
          <w:sz w:val="21"/>
          <w:szCs w:val="21"/>
        </w:rPr>
        <w:t>Постановлением Правительства РФ от 28.06.2008 г. № 476 "О внесении изменений в некоторые постановления Правительства РФ по вопросам организации конкурентной торговли генерирующей мощностью на оптовом рынке электрической энергии (мощности)" в Правила функционирования розничных рынков электрической энергии в переходный период реформирования электроэнергетики (утв. постановлением Правительства РФ от 31.08.2006 г. № 530) включен пункт 108.2 следующего содержания:</w:t>
      </w:r>
    </w:p>
    <w:p w:rsidR="00026069" w:rsidRDefault="00026069" w:rsidP="0002606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Calibri" w:hAnsi="Calibri"/>
          <w:color w:val="444444"/>
          <w:sz w:val="21"/>
          <w:szCs w:val="21"/>
        </w:rPr>
      </w:pPr>
      <w:r>
        <w:rPr>
          <w:rFonts w:ascii="Calibri" w:hAnsi="Calibri"/>
          <w:color w:val="444444"/>
          <w:sz w:val="21"/>
          <w:szCs w:val="21"/>
        </w:rPr>
        <w:t xml:space="preserve">"Покупатели, осуществляющие расчеты за электрическую энергию (мощность) по </w:t>
      </w:r>
      <w:proofErr w:type="spellStart"/>
      <w:r>
        <w:rPr>
          <w:rFonts w:ascii="Calibri" w:hAnsi="Calibri"/>
          <w:color w:val="444444"/>
          <w:sz w:val="21"/>
          <w:szCs w:val="21"/>
        </w:rPr>
        <w:t>двуставочным</w:t>
      </w:r>
      <w:proofErr w:type="spellEnd"/>
      <w:r>
        <w:rPr>
          <w:rFonts w:ascii="Calibri" w:hAnsi="Calibri"/>
          <w:color w:val="444444"/>
          <w:sz w:val="21"/>
          <w:szCs w:val="21"/>
        </w:rPr>
        <w:t xml:space="preserve"> тарифам, оплачивают по регулируемым ценам (тарифам) объем мощности, определенный договором на розничном рынке на соответствующий месяц 2008 года, умноженный на долю, равную отношению объема мощности, </w:t>
      </w:r>
      <w:proofErr w:type="spellStart"/>
      <w:r>
        <w:rPr>
          <w:rFonts w:ascii="Calibri" w:hAnsi="Calibri"/>
          <w:color w:val="444444"/>
          <w:sz w:val="21"/>
          <w:szCs w:val="21"/>
        </w:rPr>
        <w:t>рассчитанногоисходя</w:t>
      </w:r>
      <w:proofErr w:type="spellEnd"/>
      <w:r>
        <w:rPr>
          <w:rFonts w:ascii="Calibri" w:hAnsi="Calibri"/>
          <w:color w:val="444444"/>
          <w:sz w:val="21"/>
          <w:szCs w:val="21"/>
        </w:rPr>
        <w:t xml:space="preserve"> из объема мощности, определенного в прогнозном балансе на соответствующий месяц 2008 года в отношении гарантирующего поставщика (</w:t>
      </w:r>
      <w:proofErr w:type="spellStart"/>
      <w:r>
        <w:rPr>
          <w:rFonts w:ascii="Calibri" w:hAnsi="Calibri"/>
          <w:color w:val="444444"/>
          <w:sz w:val="21"/>
          <w:szCs w:val="21"/>
        </w:rPr>
        <w:t>энергосбытовой</w:t>
      </w:r>
      <w:proofErr w:type="spellEnd"/>
      <w:r>
        <w:rPr>
          <w:rFonts w:ascii="Calibri" w:hAnsi="Calibri"/>
          <w:color w:val="444444"/>
          <w:sz w:val="21"/>
          <w:szCs w:val="21"/>
        </w:rPr>
        <w:t xml:space="preserve">, </w:t>
      </w:r>
      <w:proofErr w:type="spellStart"/>
      <w:r>
        <w:rPr>
          <w:rFonts w:ascii="Calibri" w:hAnsi="Calibri"/>
          <w:color w:val="444444"/>
          <w:sz w:val="21"/>
          <w:szCs w:val="21"/>
        </w:rPr>
        <w:t>энергоснабжающей</w:t>
      </w:r>
      <w:proofErr w:type="spellEnd"/>
      <w:r>
        <w:rPr>
          <w:rFonts w:ascii="Calibri" w:hAnsi="Calibri"/>
          <w:color w:val="444444"/>
          <w:sz w:val="21"/>
          <w:szCs w:val="21"/>
        </w:rPr>
        <w:t xml:space="preserve"> организации), и доли, которой в соответствии с Правилами оптового рынка электрической энергии (мощности) переходного периода в соответствующем периоде времени определяется предельный максимальный объем мощности, покупка (продажа) которой осуществляется по регулируемым ценам (тарифам), к объему фактического потребления мощности гарантирующим поставщиком (</w:t>
      </w:r>
      <w:proofErr w:type="spellStart"/>
      <w:r>
        <w:rPr>
          <w:rFonts w:ascii="Calibri" w:hAnsi="Calibri"/>
          <w:color w:val="444444"/>
          <w:sz w:val="21"/>
          <w:szCs w:val="21"/>
        </w:rPr>
        <w:t>энергосбытовой</w:t>
      </w:r>
      <w:proofErr w:type="spellEnd"/>
      <w:r>
        <w:rPr>
          <w:rFonts w:ascii="Calibri" w:hAnsi="Calibri"/>
          <w:color w:val="444444"/>
          <w:sz w:val="21"/>
          <w:szCs w:val="21"/>
        </w:rPr>
        <w:t xml:space="preserve">, </w:t>
      </w:r>
      <w:proofErr w:type="spellStart"/>
      <w:r>
        <w:rPr>
          <w:rFonts w:ascii="Calibri" w:hAnsi="Calibri"/>
          <w:color w:val="444444"/>
          <w:sz w:val="21"/>
          <w:szCs w:val="21"/>
        </w:rPr>
        <w:t>энергоснабжающей</w:t>
      </w:r>
      <w:proofErr w:type="spellEnd"/>
      <w:r>
        <w:rPr>
          <w:rFonts w:ascii="Calibri" w:hAnsi="Calibri"/>
          <w:color w:val="444444"/>
          <w:sz w:val="21"/>
          <w:szCs w:val="21"/>
        </w:rPr>
        <w:t xml:space="preserve"> организацией) на оптовом рынке в соответствующем расчетном периоде 2008 года."</w:t>
      </w:r>
    </w:p>
    <w:p w:rsidR="00AF77DF" w:rsidRDefault="00AF77DF">
      <w:bookmarkStart w:id="0" w:name="_GoBack"/>
      <w:bookmarkEnd w:id="0"/>
    </w:p>
    <w:sectPr w:rsidR="00AF7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69"/>
    <w:rsid w:val="00026069"/>
    <w:rsid w:val="00A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7515"/>
  <w15:chartTrackingRefBased/>
  <w15:docId w15:val="{A1DF45C6-F9B8-488C-BB81-5C23B0A5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6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sc.ru/fs/files/165/fst166kor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2017-10-18T10:54:00Z</dcterms:created>
  <dcterms:modified xsi:type="dcterms:W3CDTF">2017-10-18T10:56:00Z</dcterms:modified>
</cp:coreProperties>
</file>